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BB1" w:rsidRDefault="00741BB1" w:rsidP="00741BB1">
      <w:pPr>
        <w:spacing w:after="0" w:line="480" w:lineRule="auto"/>
        <w:jc w:val="center"/>
        <w:rPr>
          <w:rFonts w:ascii="Times New Roman" w:hAnsi="Times New Roman" w:cs="Times New Roman"/>
          <w:sz w:val="24"/>
          <w:szCs w:val="24"/>
        </w:rPr>
      </w:pPr>
      <w:bookmarkStart w:id="0" w:name="_GoBack"/>
      <w:bookmarkEnd w:id="0"/>
    </w:p>
    <w:p w:rsidR="00741BB1" w:rsidRDefault="00741BB1" w:rsidP="00741BB1">
      <w:pPr>
        <w:spacing w:after="0" w:line="480" w:lineRule="auto"/>
        <w:jc w:val="center"/>
        <w:rPr>
          <w:rFonts w:ascii="Times New Roman" w:hAnsi="Times New Roman" w:cs="Times New Roman"/>
          <w:sz w:val="24"/>
          <w:szCs w:val="24"/>
        </w:rPr>
      </w:pPr>
    </w:p>
    <w:p w:rsidR="00C033EB" w:rsidRDefault="00741BB1" w:rsidP="00741BB1">
      <w:pPr>
        <w:spacing w:after="0" w:line="480" w:lineRule="auto"/>
        <w:jc w:val="center"/>
        <w:rPr>
          <w:rFonts w:ascii="Times New Roman" w:hAnsi="Times New Roman" w:cs="Times New Roman"/>
          <w:sz w:val="24"/>
          <w:szCs w:val="24"/>
        </w:rPr>
      </w:pPr>
      <w:r w:rsidRPr="00741BB1">
        <w:rPr>
          <w:rFonts w:ascii="Times New Roman" w:hAnsi="Times New Roman" w:cs="Times New Roman"/>
          <w:sz w:val="24"/>
          <w:szCs w:val="24"/>
        </w:rPr>
        <w:t>HOW DO THE MYCENAEAN GRAVE CIRCLES DEMONSTRATE SOCIAL STRATIFICATION DURING THE LATE BRONZE AGE?</w:t>
      </w: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(Student’s Name)</w:t>
      </w: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41BB1" w:rsidRDefault="00741BB1" w:rsidP="00741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41BB1" w:rsidRDefault="00741BB1" w:rsidP="00741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Location</w:t>
      </w:r>
    </w:p>
    <w:p w:rsidR="00741BB1" w:rsidRDefault="00741BB1" w:rsidP="00741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Pr="00741BB1" w:rsidRDefault="00741BB1" w:rsidP="00741BB1">
      <w:pPr>
        <w:spacing w:after="0" w:line="480" w:lineRule="auto"/>
        <w:rPr>
          <w:rFonts w:ascii="Times New Roman" w:hAnsi="Times New Roman" w:cs="Times New Roman"/>
          <w:sz w:val="24"/>
          <w:szCs w:val="24"/>
        </w:rPr>
      </w:pP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lastRenderedPageBreak/>
        <w:t>Ancient Greece is associated with various complexities that emerged during the final phase of the Middle Bronze Age. This is the period that most of the complex developments of ancient society were discovered. The shaft graves of Mycenae are among the key complex developments that demonstrate the social organization of the Mycenaean culture. This essay seeks to examine how the Mycenaean grave circles demonstrated the social stratification during the late Bronze Age. The Mycenaean grave contains chambered tombs that have vertical shafts with lined stone and topped beams that were only discovered during the late Bronze Age which illustrates and demonstrates the social stratification of Mycenaean Greece.</w:t>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The grave circle at Mycenae, despite being excavated for more than 120 years, still remain the most unique phenomenon to be studied in ancient Greece history. Mycenaean society developed during the late Bronze Age in the Helladic m</w:t>
      </w:r>
      <w:r w:rsidR="00741BB1" w:rsidRPr="00741BB1">
        <w:rPr>
          <w:rFonts w:ascii="Times New Roman" w:hAnsi="Times New Roman" w:cs="Times New Roman"/>
          <w:sz w:val="24"/>
          <w:szCs w:val="24"/>
        </w:rPr>
        <w:t>ainland as well as Crete</w:t>
      </w:r>
      <w:r w:rsidRPr="00741BB1">
        <w:rPr>
          <w:rFonts w:ascii="Times New Roman" w:hAnsi="Times New Roman" w:cs="Times New Roman"/>
          <w:sz w:val="24"/>
          <w:szCs w:val="24"/>
        </w:rPr>
        <w:t>.</w:t>
      </w:r>
      <w:r w:rsidR="00741BB1" w:rsidRPr="00741BB1">
        <w:rPr>
          <w:rStyle w:val="FootnoteReference"/>
          <w:rFonts w:ascii="Times New Roman" w:hAnsi="Times New Roman" w:cs="Times New Roman"/>
          <w:sz w:val="24"/>
          <w:szCs w:val="24"/>
        </w:rPr>
        <w:footnoteReference w:id="1"/>
      </w:r>
      <w:r w:rsidRPr="00741BB1">
        <w:rPr>
          <w:rFonts w:ascii="Times New Roman" w:hAnsi="Times New Roman" w:cs="Times New Roman"/>
          <w:sz w:val="24"/>
          <w:szCs w:val="24"/>
        </w:rPr>
        <w:t xml:space="preserve"> According to Heitz, the fascination of this burial place demonstrates the social organization of the Mycenaean society. Even though it has been difficult to determine and explain why the ancient Mycenaean society would choose to burry goods instead of helping their people.</w:t>
      </w:r>
      <w:r w:rsidR="00741BB1" w:rsidRPr="00741BB1">
        <w:rPr>
          <w:rStyle w:val="FootnoteReference"/>
          <w:rFonts w:ascii="Times New Roman" w:hAnsi="Times New Roman" w:cs="Times New Roman"/>
          <w:sz w:val="24"/>
          <w:szCs w:val="24"/>
        </w:rPr>
        <w:footnoteReference w:id="2"/>
      </w:r>
      <w:r w:rsidRPr="00741BB1">
        <w:rPr>
          <w:rFonts w:ascii="Times New Roman" w:hAnsi="Times New Roman" w:cs="Times New Roman"/>
          <w:sz w:val="24"/>
          <w:szCs w:val="24"/>
        </w:rPr>
        <w:t xml:space="preserve"> Heitz explains that there is a possibility that burying the grave goods was significant and can help understand the social stratification of this society. According to the author, analysis of the grave circle of the Mycenaean culture can help understand their ideology, especially the Minoan religion that was used to support and express the social inequality issues in the Middle and Late Bron</w:t>
      </w:r>
      <w:r w:rsidR="00741BB1" w:rsidRPr="00741BB1">
        <w:rPr>
          <w:rFonts w:ascii="Times New Roman" w:hAnsi="Times New Roman" w:cs="Times New Roman"/>
          <w:sz w:val="24"/>
          <w:szCs w:val="24"/>
        </w:rPr>
        <w:t>ze age of the ancient Greek</w:t>
      </w:r>
      <w:r w:rsidRPr="00741BB1">
        <w:rPr>
          <w:rFonts w:ascii="Times New Roman" w:hAnsi="Times New Roman" w:cs="Times New Roman"/>
          <w:sz w:val="24"/>
          <w:szCs w:val="24"/>
        </w:rPr>
        <w:t>.</w:t>
      </w:r>
      <w:r w:rsidR="00741BB1" w:rsidRPr="00741BB1">
        <w:rPr>
          <w:rStyle w:val="FootnoteReference"/>
          <w:rFonts w:ascii="Times New Roman" w:hAnsi="Times New Roman" w:cs="Times New Roman"/>
          <w:sz w:val="24"/>
          <w:szCs w:val="24"/>
        </w:rPr>
        <w:footnoteReference w:id="3"/>
      </w:r>
      <w:r w:rsidRPr="00741BB1">
        <w:rPr>
          <w:rFonts w:ascii="Times New Roman" w:hAnsi="Times New Roman" w:cs="Times New Roman"/>
          <w:sz w:val="24"/>
          <w:szCs w:val="24"/>
        </w:rPr>
        <w:t xml:space="preserve"> Heitz asserts that the focus of understanding the reasons why the grave goods </w:t>
      </w:r>
      <w:r w:rsidRPr="00741BB1">
        <w:rPr>
          <w:rFonts w:ascii="Times New Roman" w:hAnsi="Times New Roman" w:cs="Times New Roman"/>
          <w:sz w:val="24"/>
          <w:szCs w:val="24"/>
        </w:rPr>
        <w:lastRenderedPageBreak/>
        <w:t xml:space="preserve">were buried in the tomb should not be based on the value of objects placed with the dead, but it should be based on the “overall character” and “ideological </w:t>
      </w:r>
      <w:r w:rsidR="00741BB1" w:rsidRPr="00741BB1">
        <w:rPr>
          <w:rFonts w:ascii="Times New Roman" w:hAnsi="Times New Roman" w:cs="Times New Roman"/>
          <w:sz w:val="24"/>
          <w:szCs w:val="24"/>
        </w:rPr>
        <w:t>content of the assemblages.”</w:t>
      </w:r>
      <w:r w:rsidR="00741BB1" w:rsidRPr="00741BB1">
        <w:rPr>
          <w:rStyle w:val="FootnoteReference"/>
          <w:rFonts w:ascii="Times New Roman" w:hAnsi="Times New Roman" w:cs="Times New Roman"/>
          <w:sz w:val="24"/>
          <w:szCs w:val="24"/>
        </w:rPr>
        <w:footnoteReference w:id="4"/>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The Grave Circle of the Mycenaean society was classified into two main categories, Grave Circle A and B. According to Feuer, the tangible and striking evidence can help understand the emergence of the Mycenaean civilization.</w:t>
      </w:r>
      <w:r w:rsidR="00741BB1" w:rsidRPr="00741BB1">
        <w:rPr>
          <w:rStyle w:val="FootnoteReference"/>
          <w:rFonts w:ascii="Times New Roman" w:hAnsi="Times New Roman" w:cs="Times New Roman"/>
          <w:sz w:val="24"/>
          <w:szCs w:val="24"/>
        </w:rPr>
        <w:footnoteReference w:id="5"/>
      </w:r>
      <w:r w:rsidRPr="00741BB1">
        <w:rPr>
          <w:rFonts w:ascii="Times New Roman" w:hAnsi="Times New Roman" w:cs="Times New Roman"/>
          <w:sz w:val="24"/>
          <w:szCs w:val="24"/>
        </w:rPr>
        <w:t xml:space="preserve"> The Grave Circle, both A, and B, depicts the Mycenaean culture and their social stratification, especially the social class division. Feuer explains that even though they were used at different times, the general forms of Grave Circle A and B are the same.</w:t>
      </w:r>
      <w:r w:rsidR="00741BB1" w:rsidRPr="00741BB1">
        <w:rPr>
          <w:rStyle w:val="FootnoteReference"/>
          <w:rFonts w:ascii="Times New Roman" w:hAnsi="Times New Roman" w:cs="Times New Roman"/>
          <w:sz w:val="24"/>
          <w:szCs w:val="24"/>
        </w:rPr>
        <w:footnoteReference w:id="6"/>
      </w:r>
      <w:r w:rsidRPr="00741BB1">
        <w:rPr>
          <w:rFonts w:ascii="Times New Roman" w:hAnsi="Times New Roman" w:cs="Times New Roman"/>
          <w:sz w:val="24"/>
          <w:szCs w:val="24"/>
        </w:rPr>
        <w:t xml:space="preserve"> According to Feuer, Grave Circle B contained six shaft graves containing a vast amount of wealth. For example, the grave contained vast wealth in the form of “gold, bronze vessel, silver, amber necklaces, semiprecious stones and numerous engrave</w:t>
      </w:r>
      <w:r w:rsidR="00741BB1" w:rsidRPr="00741BB1">
        <w:rPr>
          <w:rFonts w:ascii="Times New Roman" w:hAnsi="Times New Roman" w:cs="Times New Roman"/>
          <w:sz w:val="24"/>
          <w:szCs w:val="24"/>
        </w:rPr>
        <w:t>d and inlaid bronze weapons.”</w:t>
      </w:r>
      <w:r w:rsidR="00741BB1" w:rsidRPr="00741BB1">
        <w:rPr>
          <w:rStyle w:val="FootnoteReference"/>
          <w:rFonts w:ascii="Times New Roman" w:hAnsi="Times New Roman" w:cs="Times New Roman"/>
          <w:sz w:val="24"/>
          <w:szCs w:val="24"/>
        </w:rPr>
        <w:footnoteReference w:id="7"/>
      </w:r>
      <w:r w:rsidRPr="00741BB1">
        <w:rPr>
          <w:rFonts w:ascii="Times New Roman" w:hAnsi="Times New Roman" w:cs="Times New Roman"/>
          <w:sz w:val="24"/>
          <w:szCs w:val="24"/>
        </w:rPr>
        <w:t xml:space="preserve">  According to the author, what these two shafts present is, therefore, tangible expression of the growing wealth and power of the Mycenaean rulers as well as the emergence of the complex state-society defined by increasingly complex social, economic, and political changes.</w:t>
      </w:r>
      <w:r w:rsidR="00741BB1" w:rsidRPr="00741BB1">
        <w:rPr>
          <w:rStyle w:val="FootnoteReference"/>
          <w:rFonts w:ascii="Times New Roman" w:hAnsi="Times New Roman" w:cs="Times New Roman"/>
          <w:sz w:val="24"/>
          <w:szCs w:val="24"/>
        </w:rPr>
        <w:footnoteReference w:id="8"/>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 xml:space="preserve">The Grave Circles are associated with the beginning of the Mycenaean palatial age. Nash, while examining the origins of the Mycenaean palatial age observes that the first age emerged in MH II, which was characterized by the demarcation of the Grave Circle B at Mycenae. Of the two graves, Grave Circle B was the first or earlier with twenty-six graves as well as multiple inhumations within the shafts. According to Nash, since the early phase period to the late phase I, the difference in social stratification, especially the elite class from the lower class increased. </w:t>
      </w:r>
      <w:r w:rsidRPr="00741BB1">
        <w:rPr>
          <w:rFonts w:ascii="Times New Roman" w:hAnsi="Times New Roman" w:cs="Times New Roman"/>
          <w:sz w:val="24"/>
          <w:szCs w:val="24"/>
        </w:rPr>
        <w:lastRenderedPageBreak/>
        <w:t>Graziadio further examines the process of stratification at Mycenae citing that the two Grave Circles are an evolution of grave form and richness of the burials of the Mycenaean society during the Aegean Bronze Age.</w:t>
      </w:r>
      <w:r w:rsidR="00741BB1" w:rsidRPr="00741BB1">
        <w:rPr>
          <w:rStyle w:val="FootnoteReference"/>
          <w:rFonts w:ascii="Times New Roman" w:hAnsi="Times New Roman" w:cs="Times New Roman"/>
          <w:sz w:val="24"/>
          <w:szCs w:val="24"/>
        </w:rPr>
        <w:footnoteReference w:id="9"/>
      </w:r>
      <w:r w:rsidRPr="00741BB1">
        <w:rPr>
          <w:rFonts w:ascii="Times New Roman" w:hAnsi="Times New Roman" w:cs="Times New Roman"/>
          <w:sz w:val="24"/>
          <w:szCs w:val="24"/>
        </w:rPr>
        <w:t xml:space="preserve"> Through multivariate analysis, Graziadio presents the composition of grave assemblages as well as a different number of artifacts that represented the value of each individual’s offerings.</w:t>
      </w:r>
      <w:r w:rsidR="00741BB1" w:rsidRPr="00741BB1">
        <w:rPr>
          <w:rStyle w:val="FootnoteReference"/>
          <w:rFonts w:ascii="Times New Roman" w:hAnsi="Times New Roman" w:cs="Times New Roman"/>
          <w:sz w:val="24"/>
          <w:szCs w:val="24"/>
        </w:rPr>
        <w:footnoteReference w:id="10"/>
      </w:r>
      <w:r w:rsidRPr="00741BB1">
        <w:rPr>
          <w:rFonts w:ascii="Times New Roman" w:hAnsi="Times New Roman" w:cs="Times New Roman"/>
          <w:sz w:val="24"/>
          <w:szCs w:val="24"/>
        </w:rPr>
        <w:t xml:space="preserve"> Graziadio differentiates the two Grave Circles citing that Circle B, which was the earlier gravesite, is associated with a lower degree of wealth than the preceding one. Therefore, it is clearly evident that the Grave Circle A comprised of the tomb of the highest sector of the ruling class and the rich in the Mycenaean society.</w:t>
      </w:r>
      <w:r w:rsidR="00741BB1" w:rsidRPr="00741BB1">
        <w:rPr>
          <w:rStyle w:val="FootnoteReference"/>
          <w:rFonts w:ascii="Times New Roman" w:hAnsi="Times New Roman" w:cs="Times New Roman"/>
          <w:sz w:val="24"/>
          <w:szCs w:val="24"/>
        </w:rPr>
        <w:footnoteReference w:id="11"/>
      </w:r>
      <w:r w:rsidRPr="00741BB1">
        <w:rPr>
          <w:rFonts w:ascii="Times New Roman" w:hAnsi="Times New Roman" w:cs="Times New Roman"/>
          <w:sz w:val="24"/>
          <w:szCs w:val="24"/>
        </w:rPr>
        <w:t xml:space="preserve"> Nash further explains the potential reason that may help understand why the Grave Circle B would be for the less rich than Grave Circle A. According to Nash, Grave Circle B was comprised of the emerging Mycenaean society members like the worrier elites, “who burials were rich beyond a</w:t>
      </w:r>
      <w:r w:rsidR="00741BB1" w:rsidRPr="00741BB1">
        <w:rPr>
          <w:rFonts w:ascii="Times New Roman" w:hAnsi="Times New Roman" w:cs="Times New Roman"/>
          <w:sz w:val="24"/>
          <w:szCs w:val="24"/>
        </w:rPr>
        <w:t>ny precedent in the Aegean.”</w:t>
      </w:r>
      <w:r w:rsidR="00741BB1" w:rsidRPr="00741BB1">
        <w:rPr>
          <w:rStyle w:val="FootnoteReference"/>
          <w:rFonts w:ascii="Times New Roman" w:hAnsi="Times New Roman" w:cs="Times New Roman"/>
          <w:sz w:val="24"/>
          <w:szCs w:val="24"/>
        </w:rPr>
        <w:footnoteReference w:id="12"/>
      </w:r>
      <w:r w:rsidRPr="00741BB1">
        <w:rPr>
          <w:rFonts w:ascii="Times New Roman" w:hAnsi="Times New Roman" w:cs="Times New Roman"/>
          <w:sz w:val="24"/>
          <w:szCs w:val="24"/>
        </w:rPr>
        <w:t xml:space="preserve"> The Grave Circle B marks the prepalatial period as Nash explains because it was removed from the Mycenaean bureaucratic structures. However, the palatial period that marked the establishment of Grave Circle A was characterized by the radical restructuring of the Mycenaean society through variou</w:t>
      </w:r>
      <w:r w:rsidR="00741BB1" w:rsidRPr="00741BB1">
        <w:rPr>
          <w:rFonts w:ascii="Times New Roman" w:hAnsi="Times New Roman" w:cs="Times New Roman"/>
          <w:sz w:val="24"/>
          <w:szCs w:val="24"/>
        </w:rPr>
        <w:t>s “lords in emulation.”</w:t>
      </w:r>
      <w:r w:rsidR="00741BB1" w:rsidRPr="00741BB1">
        <w:rPr>
          <w:rStyle w:val="FootnoteReference"/>
          <w:rFonts w:ascii="Times New Roman" w:hAnsi="Times New Roman" w:cs="Times New Roman"/>
          <w:sz w:val="24"/>
          <w:szCs w:val="24"/>
        </w:rPr>
        <w:footnoteReference w:id="13"/>
      </w:r>
      <w:r w:rsidRPr="00741BB1">
        <w:rPr>
          <w:rFonts w:ascii="Times New Roman" w:hAnsi="Times New Roman" w:cs="Times New Roman"/>
          <w:sz w:val="24"/>
          <w:szCs w:val="24"/>
        </w:rPr>
        <w:t xml:space="preserve"> According to Nash, the development of the palaces in Mycenae was not as a result of the natural evolution of the society from the lower to upper class, but clear structural changes that was organized by the Mycenaean leaders.</w:t>
      </w:r>
      <w:r w:rsidR="00741BB1" w:rsidRPr="00741BB1">
        <w:rPr>
          <w:rStyle w:val="FootnoteReference"/>
          <w:rFonts w:ascii="Times New Roman" w:hAnsi="Times New Roman" w:cs="Times New Roman"/>
          <w:sz w:val="24"/>
          <w:szCs w:val="24"/>
        </w:rPr>
        <w:footnoteReference w:id="14"/>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 xml:space="preserve">The existence of grave goods depicted in the two Grave Circles demonstrates the social organization and behavior of the Mycenaean people. According to Heitz, the discovery of the </w:t>
      </w:r>
      <w:r w:rsidRPr="00741BB1">
        <w:rPr>
          <w:rFonts w:ascii="Times New Roman" w:hAnsi="Times New Roman" w:cs="Times New Roman"/>
          <w:sz w:val="24"/>
          <w:szCs w:val="24"/>
        </w:rPr>
        <w:lastRenderedPageBreak/>
        <w:t>Grave Circles indicates the symbolic behavior of the Mycenaean society which demonstrates certain ideas about their belief in the afterlife.</w:t>
      </w:r>
      <w:r w:rsidR="00741BB1" w:rsidRPr="00741BB1">
        <w:rPr>
          <w:rStyle w:val="FootnoteReference"/>
          <w:rFonts w:ascii="Times New Roman" w:hAnsi="Times New Roman" w:cs="Times New Roman"/>
          <w:sz w:val="24"/>
          <w:szCs w:val="24"/>
        </w:rPr>
        <w:footnoteReference w:id="15"/>
      </w:r>
      <w:r w:rsidRPr="00741BB1">
        <w:rPr>
          <w:rFonts w:ascii="Times New Roman" w:hAnsi="Times New Roman" w:cs="Times New Roman"/>
          <w:sz w:val="24"/>
          <w:szCs w:val="24"/>
        </w:rPr>
        <w:t xml:space="preserve"> According to Kristiansen and Thomas, the period of the Middle Bronze age marked the development of a more complex society in ancient Greece.</w:t>
      </w:r>
      <w:r w:rsidR="00741BB1" w:rsidRPr="00741BB1">
        <w:rPr>
          <w:rStyle w:val="FootnoteReference"/>
          <w:rFonts w:ascii="Times New Roman" w:hAnsi="Times New Roman" w:cs="Times New Roman"/>
          <w:sz w:val="24"/>
          <w:szCs w:val="24"/>
        </w:rPr>
        <w:footnoteReference w:id="16"/>
      </w:r>
      <w:r w:rsidRPr="00741BB1">
        <w:rPr>
          <w:rFonts w:ascii="Times New Roman" w:hAnsi="Times New Roman" w:cs="Times New Roman"/>
          <w:sz w:val="24"/>
          <w:szCs w:val="24"/>
        </w:rPr>
        <w:t xml:space="preserve"> They make a further observation that this period was witnessed in the elaboration of the funerary architecture depicted in the Grave Circles. Based on the two excavations done by Schliemann for the Grave Circle A in the late 1870s and Greek Archaeologists for Grave Circle B in the 1950s, Kristiansen and Thomas argue that the way the Circle A was deliberately incorporated into the new architecture can further demonstrate the social organization of the Mycenaean society.</w:t>
      </w:r>
      <w:r w:rsidR="00741BB1" w:rsidRPr="00741BB1">
        <w:rPr>
          <w:rStyle w:val="FootnoteReference"/>
          <w:rFonts w:ascii="Times New Roman" w:hAnsi="Times New Roman" w:cs="Times New Roman"/>
          <w:sz w:val="24"/>
          <w:szCs w:val="24"/>
        </w:rPr>
        <w:footnoteReference w:id="17"/>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The stratification of the Mycenaean society resulted in the creation of the royal family, which was headed by “Wanax” as the head. The Grave Circles show the Minoan religion, which was associated with the leadership. According to Kristiansen and Thomas, the Mycenaean kingship was closely associated with divinity.</w:t>
      </w:r>
      <w:r w:rsidR="00741BB1" w:rsidRPr="00741BB1">
        <w:rPr>
          <w:rStyle w:val="FootnoteReference"/>
          <w:rFonts w:ascii="Times New Roman" w:hAnsi="Times New Roman" w:cs="Times New Roman"/>
          <w:sz w:val="24"/>
          <w:szCs w:val="24"/>
        </w:rPr>
        <w:footnoteReference w:id="18"/>
      </w:r>
      <w:r w:rsidRPr="00741BB1">
        <w:rPr>
          <w:rFonts w:ascii="Times New Roman" w:hAnsi="Times New Roman" w:cs="Times New Roman"/>
          <w:sz w:val="24"/>
          <w:szCs w:val="24"/>
        </w:rPr>
        <w:t xml:space="preserve"> According to the authors, the title of the kingship, Wanax, was also referred to in this community to refer to gods.</w:t>
      </w:r>
      <w:r w:rsidR="00741BB1" w:rsidRPr="00741BB1">
        <w:rPr>
          <w:rStyle w:val="FootnoteReference"/>
          <w:rFonts w:ascii="Times New Roman" w:hAnsi="Times New Roman" w:cs="Times New Roman"/>
          <w:sz w:val="24"/>
          <w:szCs w:val="24"/>
        </w:rPr>
        <w:footnoteReference w:id="19"/>
      </w:r>
      <w:r w:rsidRPr="00741BB1">
        <w:rPr>
          <w:rFonts w:ascii="Times New Roman" w:hAnsi="Times New Roman" w:cs="Times New Roman"/>
          <w:sz w:val="24"/>
          <w:szCs w:val="24"/>
        </w:rPr>
        <w:t xml:space="preserve"> This means that even though there was no formal religious practice, they believed in the kingship as it was closely linked to divinity. The Mycenaean rulers were more treated divine. Even though there is no evidence to show religious institutions during this period, but the existence of the grave goods is clear enough that the Mycenaean people had started beli</w:t>
      </w:r>
      <w:r w:rsidR="00741BB1" w:rsidRPr="00741BB1">
        <w:rPr>
          <w:rFonts w:ascii="Times New Roman" w:hAnsi="Times New Roman" w:cs="Times New Roman"/>
          <w:sz w:val="24"/>
          <w:szCs w:val="24"/>
        </w:rPr>
        <w:t>eving in the afterlife</w:t>
      </w:r>
      <w:r w:rsidRPr="00741BB1">
        <w:rPr>
          <w:rFonts w:ascii="Times New Roman" w:hAnsi="Times New Roman" w:cs="Times New Roman"/>
          <w:sz w:val="24"/>
          <w:szCs w:val="24"/>
        </w:rPr>
        <w:t>.</w:t>
      </w:r>
      <w:r w:rsidR="00741BB1" w:rsidRPr="00741BB1">
        <w:rPr>
          <w:rStyle w:val="FootnoteReference"/>
          <w:rFonts w:ascii="Times New Roman" w:hAnsi="Times New Roman" w:cs="Times New Roman"/>
          <w:sz w:val="24"/>
          <w:szCs w:val="24"/>
        </w:rPr>
        <w:footnoteReference w:id="20"/>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 xml:space="preserve">The Grave Circles further depicts the ideologies of power and gender in ancient Greek society, Mycenae, which also contributes to understanding the social stratification of this society. </w:t>
      </w:r>
      <w:r w:rsidRPr="00741BB1">
        <w:rPr>
          <w:rFonts w:ascii="Times New Roman" w:hAnsi="Times New Roman" w:cs="Times New Roman"/>
          <w:sz w:val="24"/>
          <w:szCs w:val="24"/>
        </w:rPr>
        <w:lastRenderedPageBreak/>
        <w:t>According to Heitz, even though data from the ancient society’s settlement hardly show important features, the locations where the palaces were erected could be very useful in understanding this society’s social organization.</w:t>
      </w:r>
      <w:r w:rsidR="00741BB1" w:rsidRPr="00741BB1">
        <w:rPr>
          <w:rStyle w:val="FootnoteReference"/>
          <w:rFonts w:ascii="Times New Roman" w:hAnsi="Times New Roman" w:cs="Times New Roman"/>
          <w:sz w:val="24"/>
          <w:szCs w:val="24"/>
        </w:rPr>
        <w:footnoteReference w:id="21"/>
      </w:r>
      <w:r w:rsidRPr="00741BB1">
        <w:rPr>
          <w:rFonts w:ascii="Times New Roman" w:hAnsi="Times New Roman" w:cs="Times New Roman"/>
          <w:sz w:val="24"/>
          <w:szCs w:val="24"/>
        </w:rPr>
        <w:t xml:space="preserve"> The Grave Circles is one of such features that come out clearly to distinguish the different ways that the Mycenaean people used to distinguish their people. The way the dead were buried could be easily used to determine the various social classes. Heitz explains that the normal graves the other graves that were equipped with richer assemblages show those different standards of the Mycenaean society.</w:t>
      </w:r>
      <w:r w:rsidR="00741BB1" w:rsidRPr="00741BB1">
        <w:rPr>
          <w:rStyle w:val="FootnoteReference"/>
          <w:rFonts w:ascii="Times New Roman" w:hAnsi="Times New Roman" w:cs="Times New Roman"/>
          <w:sz w:val="24"/>
          <w:szCs w:val="24"/>
        </w:rPr>
        <w:footnoteReference w:id="22"/>
      </w:r>
      <w:r w:rsidRPr="00741BB1">
        <w:rPr>
          <w:rFonts w:ascii="Times New Roman" w:hAnsi="Times New Roman" w:cs="Times New Roman"/>
          <w:sz w:val="24"/>
          <w:szCs w:val="24"/>
        </w:rPr>
        <w:t xml:space="preserve"> However, despite the existence of these grave goods, it is still difficult to explain and understand the reason why this practice was held, especially when there is no evidence of religious practice before in Mycenaean society. However, as Wright explains, the practice of depositing and keeping valuable objects in the graves from the late middle through the late Bronze Age demonstrates that the value of attachment of the people to both the objects and also to the activities that they symbolized.</w:t>
      </w:r>
      <w:r w:rsidR="00741BB1" w:rsidRPr="00741BB1">
        <w:rPr>
          <w:rStyle w:val="FootnoteReference"/>
          <w:rFonts w:ascii="Times New Roman" w:hAnsi="Times New Roman" w:cs="Times New Roman"/>
          <w:sz w:val="24"/>
          <w:szCs w:val="24"/>
        </w:rPr>
        <w:footnoteReference w:id="23"/>
      </w:r>
      <w:r w:rsidRPr="00741BB1">
        <w:rPr>
          <w:rFonts w:ascii="Times New Roman" w:hAnsi="Times New Roman" w:cs="Times New Roman"/>
          <w:sz w:val="24"/>
          <w:szCs w:val="24"/>
        </w:rPr>
        <w:t xml:space="preserve"> According to Wright, one clear indication of this practice is the acceptance of the Mycenaean customs to appreciate and value the elite class.</w:t>
      </w:r>
      <w:r w:rsidR="00741BB1" w:rsidRPr="00741BB1">
        <w:rPr>
          <w:rStyle w:val="FootnoteReference"/>
          <w:rFonts w:ascii="Times New Roman" w:hAnsi="Times New Roman" w:cs="Times New Roman"/>
          <w:sz w:val="24"/>
          <w:szCs w:val="24"/>
        </w:rPr>
        <w:footnoteReference w:id="24"/>
      </w:r>
      <w:r w:rsidRPr="00741BB1">
        <w:rPr>
          <w:rFonts w:ascii="Times New Roman" w:hAnsi="Times New Roman" w:cs="Times New Roman"/>
          <w:sz w:val="24"/>
          <w:szCs w:val="24"/>
        </w:rPr>
        <w:t xml:space="preserve"> These assemblages found in the tomb of Grave Circles denote the different activities that the Mycenaean people engaged in. For example, the metal kettles and basins found in the deposits of the tombs denote What Wright describes as the “diacritical feast” of the Mycenaean people.</w:t>
      </w:r>
      <w:r w:rsidR="00741BB1" w:rsidRPr="00741BB1">
        <w:rPr>
          <w:rStyle w:val="FootnoteReference"/>
          <w:rFonts w:ascii="Times New Roman" w:hAnsi="Times New Roman" w:cs="Times New Roman"/>
          <w:sz w:val="24"/>
          <w:szCs w:val="24"/>
        </w:rPr>
        <w:footnoteReference w:id="25"/>
      </w:r>
    </w:p>
    <w:p w:rsidR="00C033EB" w:rsidRPr="00741BB1" w:rsidRDefault="00C033EB" w:rsidP="00741BB1">
      <w:pPr>
        <w:spacing w:after="0" w:line="480" w:lineRule="auto"/>
        <w:ind w:firstLine="720"/>
        <w:rPr>
          <w:rFonts w:ascii="Times New Roman" w:hAnsi="Times New Roman" w:cs="Times New Roman"/>
          <w:sz w:val="24"/>
          <w:szCs w:val="24"/>
        </w:rPr>
      </w:pPr>
      <w:r w:rsidRPr="00741BB1">
        <w:rPr>
          <w:rFonts w:ascii="Times New Roman" w:hAnsi="Times New Roman" w:cs="Times New Roman"/>
          <w:sz w:val="24"/>
          <w:szCs w:val="24"/>
        </w:rPr>
        <w:t xml:space="preserve">In conclusion, this paper has explored how Mycenaean Grave Circles demonstrate society’s social stratification during the later Bronze Age. Based on these findings, the Grave Circles represented Mycenaean social organizations. The earlier Circle B demonstrated the </w:t>
      </w:r>
      <w:r w:rsidRPr="00741BB1">
        <w:rPr>
          <w:rFonts w:ascii="Times New Roman" w:hAnsi="Times New Roman" w:cs="Times New Roman"/>
          <w:sz w:val="24"/>
          <w:szCs w:val="24"/>
        </w:rPr>
        <w:lastRenderedPageBreak/>
        <w:t>beginning of the social stratification because it did not contain rich objects as the second tomb, Circle A. However, in both cases, the tombs showed that social stratification had already developed through this age and people could distinguish the social organizations in the society including the rulers, warriors and the rest of the members of the society. The significance of this time period is that it contains important evidence, the shafts Graves of Mycenae that can be used to establish and understand the framework of the social stratification of the Mycenaean culture.</w:t>
      </w:r>
    </w:p>
    <w:p w:rsidR="00C033EB" w:rsidRDefault="00C033EB"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rPr>
          <w:rFonts w:ascii="Times New Roman" w:hAnsi="Times New Roman" w:cs="Times New Roman"/>
          <w:sz w:val="24"/>
          <w:szCs w:val="24"/>
        </w:rPr>
      </w:pPr>
    </w:p>
    <w:p w:rsidR="00741BB1" w:rsidRDefault="00741BB1" w:rsidP="00741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741BB1" w:rsidRPr="00566558" w:rsidRDefault="00741BB1" w:rsidP="00741BB1">
      <w:pPr>
        <w:spacing w:after="0" w:line="480" w:lineRule="auto"/>
        <w:ind w:left="720" w:hanging="720"/>
        <w:rPr>
          <w:rFonts w:ascii="Times New Roman" w:hAnsi="Times New Roman" w:cs="Times New Roman"/>
          <w:color w:val="222222"/>
          <w:sz w:val="24"/>
          <w:szCs w:val="24"/>
          <w:shd w:val="clear" w:color="auto" w:fill="FFFFFF"/>
        </w:rPr>
      </w:pPr>
      <w:r w:rsidRPr="00566558">
        <w:rPr>
          <w:rFonts w:ascii="Times New Roman" w:hAnsi="Times New Roman" w:cs="Times New Roman"/>
          <w:color w:val="222222"/>
          <w:sz w:val="24"/>
          <w:szCs w:val="24"/>
          <w:shd w:val="clear" w:color="auto" w:fill="FFFFFF"/>
        </w:rPr>
        <w:t>Feuer, Bryan. </w:t>
      </w:r>
      <w:r w:rsidRPr="00566558">
        <w:rPr>
          <w:rFonts w:ascii="Times New Roman" w:hAnsi="Times New Roman" w:cs="Times New Roman"/>
          <w:i/>
          <w:iCs/>
          <w:color w:val="222222"/>
          <w:sz w:val="24"/>
          <w:szCs w:val="24"/>
          <w:shd w:val="clear" w:color="auto" w:fill="FFFFFF"/>
        </w:rPr>
        <w:t>Mycenaean Civilization: An Annotated Bibliography through 2002, rev</w:t>
      </w:r>
      <w:r w:rsidRPr="00566558">
        <w:rPr>
          <w:rFonts w:ascii="Times New Roman" w:hAnsi="Times New Roman" w:cs="Times New Roman"/>
          <w:color w:val="222222"/>
          <w:sz w:val="24"/>
          <w:szCs w:val="24"/>
          <w:shd w:val="clear" w:color="auto" w:fill="FFFFFF"/>
        </w:rPr>
        <w:t>. Vol. 1525. McFarland, 2004.</w:t>
      </w:r>
    </w:p>
    <w:p w:rsidR="00741BB1" w:rsidRPr="00566558" w:rsidRDefault="00741BB1" w:rsidP="00741BB1">
      <w:pPr>
        <w:spacing w:after="0" w:line="480" w:lineRule="auto"/>
        <w:ind w:left="720" w:hanging="720"/>
        <w:rPr>
          <w:rFonts w:ascii="Times New Roman" w:hAnsi="Times New Roman" w:cs="Times New Roman"/>
          <w:color w:val="222222"/>
          <w:sz w:val="24"/>
          <w:szCs w:val="24"/>
          <w:shd w:val="clear" w:color="auto" w:fill="FFFFFF"/>
        </w:rPr>
      </w:pPr>
      <w:r w:rsidRPr="00566558">
        <w:rPr>
          <w:rFonts w:ascii="Times New Roman" w:hAnsi="Times New Roman" w:cs="Times New Roman"/>
          <w:color w:val="222222"/>
          <w:sz w:val="24"/>
          <w:szCs w:val="24"/>
          <w:shd w:val="clear" w:color="auto" w:fill="FFFFFF"/>
        </w:rPr>
        <w:t>Graziadio, Giampaolo. "The process of social stratification at Mycenae in the Shaft Grave period: a comparative examination of the evidence." </w:t>
      </w:r>
      <w:r w:rsidRPr="00566558">
        <w:rPr>
          <w:rFonts w:ascii="Times New Roman" w:hAnsi="Times New Roman" w:cs="Times New Roman"/>
          <w:i/>
          <w:iCs/>
          <w:color w:val="222222"/>
          <w:sz w:val="24"/>
          <w:szCs w:val="24"/>
          <w:shd w:val="clear" w:color="auto" w:fill="FFFFFF"/>
        </w:rPr>
        <w:t>American journal of archaeology</w:t>
      </w:r>
      <w:r w:rsidRPr="00566558">
        <w:rPr>
          <w:rFonts w:ascii="Times New Roman" w:hAnsi="Times New Roman" w:cs="Times New Roman"/>
          <w:color w:val="222222"/>
          <w:sz w:val="24"/>
          <w:szCs w:val="24"/>
          <w:shd w:val="clear" w:color="auto" w:fill="FFFFFF"/>
        </w:rPr>
        <w:t> (1991): 403-440.</w:t>
      </w:r>
    </w:p>
    <w:p w:rsidR="00741BB1" w:rsidRPr="00566558" w:rsidRDefault="00741BB1" w:rsidP="00741BB1">
      <w:pPr>
        <w:spacing w:after="0" w:line="480" w:lineRule="auto"/>
        <w:ind w:left="720" w:hanging="720"/>
        <w:rPr>
          <w:rFonts w:ascii="Times New Roman" w:hAnsi="Times New Roman" w:cs="Times New Roman"/>
          <w:color w:val="222222"/>
          <w:sz w:val="24"/>
          <w:szCs w:val="24"/>
          <w:shd w:val="clear" w:color="auto" w:fill="FFFFFF"/>
        </w:rPr>
      </w:pPr>
      <w:r w:rsidRPr="00566558">
        <w:rPr>
          <w:rFonts w:ascii="Times New Roman" w:hAnsi="Times New Roman" w:cs="Times New Roman"/>
          <w:color w:val="222222"/>
          <w:sz w:val="24"/>
          <w:szCs w:val="24"/>
          <w:shd w:val="clear" w:color="auto" w:fill="FFFFFF"/>
        </w:rPr>
        <w:t>Heitz, Christian. "Burying the palaces? Ideologies in the Shaft Grave period." (2008).</w:t>
      </w:r>
    </w:p>
    <w:p w:rsidR="00741BB1" w:rsidRPr="00566558" w:rsidRDefault="00741BB1" w:rsidP="00741BB1">
      <w:pPr>
        <w:spacing w:after="0" w:line="480" w:lineRule="auto"/>
        <w:ind w:left="720" w:hanging="720"/>
        <w:rPr>
          <w:rFonts w:ascii="Times New Roman" w:hAnsi="Times New Roman" w:cs="Times New Roman"/>
          <w:color w:val="222222"/>
          <w:sz w:val="24"/>
          <w:szCs w:val="24"/>
          <w:shd w:val="clear" w:color="auto" w:fill="FFFFFF"/>
        </w:rPr>
      </w:pPr>
      <w:r w:rsidRPr="00566558">
        <w:rPr>
          <w:rFonts w:ascii="Times New Roman" w:hAnsi="Times New Roman" w:cs="Times New Roman"/>
          <w:color w:val="222222"/>
          <w:sz w:val="24"/>
          <w:szCs w:val="24"/>
          <w:shd w:val="clear" w:color="auto" w:fill="FFFFFF"/>
        </w:rPr>
        <w:t>Kristiansen, Kristian, and Thomas B. Larsson. </w:t>
      </w:r>
      <w:r w:rsidRPr="00566558">
        <w:rPr>
          <w:rFonts w:ascii="Times New Roman" w:hAnsi="Times New Roman" w:cs="Times New Roman"/>
          <w:i/>
          <w:iCs/>
          <w:color w:val="222222"/>
          <w:sz w:val="24"/>
          <w:szCs w:val="24"/>
          <w:shd w:val="clear" w:color="auto" w:fill="FFFFFF"/>
        </w:rPr>
        <w:t>The rise of Bronze Age society: travels, transmissions and transformations</w:t>
      </w:r>
      <w:r w:rsidRPr="00566558">
        <w:rPr>
          <w:rFonts w:ascii="Times New Roman" w:hAnsi="Times New Roman" w:cs="Times New Roman"/>
          <w:color w:val="222222"/>
          <w:sz w:val="24"/>
          <w:szCs w:val="24"/>
          <w:shd w:val="clear" w:color="auto" w:fill="FFFFFF"/>
        </w:rPr>
        <w:t>. Cambridge University Press, 2005.</w:t>
      </w:r>
    </w:p>
    <w:p w:rsidR="00741BB1" w:rsidRPr="00566558" w:rsidRDefault="00741BB1" w:rsidP="00741BB1">
      <w:pPr>
        <w:spacing w:after="0" w:line="480" w:lineRule="auto"/>
        <w:ind w:left="720" w:hanging="720"/>
        <w:rPr>
          <w:rFonts w:ascii="Times New Roman" w:hAnsi="Times New Roman" w:cs="Times New Roman"/>
          <w:color w:val="222222"/>
          <w:sz w:val="24"/>
          <w:szCs w:val="24"/>
          <w:shd w:val="clear" w:color="auto" w:fill="FFFFFF"/>
        </w:rPr>
      </w:pPr>
      <w:r w:rsidRPr="00566558">
        <w:rPr>
          <w:rFonts w:ascii="Times New Roman" w:hAnsi="Times New Roman" w:cs="Times New Roman"/>
          <w:color w:val="222222"/>
          <w:sz w:val="24"/>
          <w:szCs w:val="24"/>
          <w:shd w:val="clear" w:color="auto" w:fill="FFFFFF"/>
        </w:rPr>
        <w:t>Nash, Theodore. "Creta Capta: Late Minoan II Knossos in Mycenaean History." (2017).</w:t>
      </w:r>
    </w:p>
    <w:p w:rsidR="00741BB1" w:rsidRPr="00566558" w:rsidRDefault="00741BB1" w:rsidP="00741BB1">
      <w:pPr>
        <w:spacing w:after="0" w:line="480" w:lineRule="auto"/>
        <w:ind w:left="720" w:hanging="720"/>
        <w:rPr>
          <w:rFonts w:ascii="Times New Roman" w:hAnsi="Times New Roman" w:cs="Times New Roman"/>
          <w:sz w:val="24"/>
          <w:szCs w:val="24"/>
        </w:rPr>
      </w:pPr>
      <w:r w:rsidRPr="00566558">
        <w:rPr>
          <w:rFonts w:ascii="Times New Roman" w:hAnsi="Times New Roman" w:cs="Times New Roman"/>
          <w:color w:val="222222"/>
          <w:sz w:val="24"/>
          <w:szCs w:val="24"/>
          <w:shd w:val="clear" w:color="auto" w:fill="FFFFFF"/>
        </w:rPr>
        <w:t>Wright, James C. "A survey of evidence for feasting in Mycenaean society." </w:t>
      </w:r>
      <w:r w:rsidRPr="00566558">
        <w:rPr>
          <w:rFonts w:ascii="Times New Roman" w:hAnsi="Times New Roman" w:cs="Times New Roman"/>
          <w:i/>
          <w:iCs/>
          <w:color w:val="222222"/>
          <w:sz w:val="24"/>
          <w:szCs w:val="24"/>
          <w:shd w:val="clear" w:color="auto" w:fill="FFFFFF"/>
        </w:rPr>
        <w:t>The Mycenaean Feast</w:t>
      </w:r>
      <w:r w:rsidRPr="00566558">
        <w:rPr>
          <w:rFonts w:ascii="Times New Roman" w:hAnsi="Times New Roman" w:cs="Times New Roman"/>
          <w:color w:val="222222"/>
          <w:sz w:val="24"/>
          <w:szCs w:val="24"/>
          <w:shd w:val="clear" w:color="auto" w:fill="FFFFFF"/>
        </w:rPr>
        <w:t> 73, no. 2 (2004): 133-78.</w:t>
      </w:r>
    </w:p>
    <w:p w:rsidR="00741BB1" w:rsidRPr="00741BB1" w:rsidRDefault="00741BB1" w:rsidP="00741BB1">
      <w:pPr>
        <w:spacing w:after="0" w:line="480" w:lineRule="auto"/>
        <w:rPr>
          <w:rFonts w:ascii="Times New Roman" w:hAnsi="Times New Roman" w:cs="Times New Roman"/>
          <w:sz w:val="24"/>
          <w:szCs w:val="24"/>
        </w:rPr>
      </w:pPr>
    </w:p>
    <w:sectPr w:rsidR="00741BB1" w:rsidRPr="00741B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A92" w:rsidRDefault="00C70A92" w:rsidP="00741BB1">
      <w:pPr>
        <w:spacing w:after="0" w:line="240" w:lineRule="auto"/>
      </w:pPr>
      <w:r>
        <w:separator/>
      </w:r>
    </w:p>
  </w:endnote>
  <w:endnote w:type="continuationSeparator" w:id="0">
    <w:p w:rsidR="00C70A92" w:rsidRDefault="00C70A92" w:rsidP="00741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A92" w:rsidRDefault="00C70A92" w:rsidP="00741BB1">
      <w:pPr>
        <w:spacing w:after="0" w:line="240" w:lineRule="auto"/>
      </w:pPr>
      <w:r>
        <w:separator/>
      </w:r>
    </w:p>
  </w:footnote>
  <w:footnote w:type="continuationSeparator" w:id="0">
    <w:p w:rsidR="00C70A92" w:rsidRDefault="00C70A92" w:rsidP="00741BB1">
      <w:pPr>
        <w:spacing w:after="0" w:line="240" w:lineRule="auto"/>
      </w:pPr>
      <w:r>
        <w:continuationSeparator/>
      </w:r>
    </w:p>
  </w:footnote>
  <w:footnote w:id="1">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Feuer, Bryan. </w:t>
      </w:r>
      <w:r w:rsidRPr="00741BB1">
        <w:rPr>
          <w:rFonts w:ascii="Arial" w:hAnsi="Arial" w:cs="Arial"/>
          <w:i/>
          <w:iCs/>
          <w:color w:val="222222"/>
          <w:sz w:val="20"/>
          <w:szCs w:val="20"/>
          <w:shd w:val="clear" w:color="auto" w:fill="FFFFFF"/>
        </w:rPr>
        <w:t>Mycenaean Civilization: An Annotated Bibliography through 2002, rev</w:t>
      </w:r>
      <w:r w:rsidRPr="00741BB1">
        <w:rPr>
          <w:rFonts w:ascii="Arial" w:hAnsi="Arial" w:cs="Arial"/>
          <w:color w:val="222222"/>
          <w:sz w:val="20"/>
          <w:szCs w:val="20"/>
          <w:shd w:val="clear" w:color="auto" w:fill="FFFFFF"/>
        </w:rPr>
        <w:t>. Vol. 1525. McFarland, 2004.</w:t>
      </w:r>
    </w:p>
  </w:footnote>
  <w:footnote w:id="2">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Heitz, Christian. "Burying the palaces? Ideologies in the Shaft Grave period." (2008).</w:t>
      </w:r>
    </w:p>
  </w:footnote>
  <w:footnote w:id="3">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 p. 3.</w:t>
      </w:r>
    </w:p>
  </w:footnote>
  <w:footnote w:id="4">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 xml:space="preserve">Ibid., p. 2. </w:t>
      </w:r>
    </w:p>
  </w:footnote>
  <w:footnote w:id="5">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color w:val="222222"/>
          <w:shd w:val="clear" w:color="auto" w:fill="FFFFFF"/>
        </w:rPr>
        <w:t>Feuer, Bryan. </w:t>
      </w:r>
      <w:r w:rsidRPr="00741BB1">
        <w:rPr>
          <w:rFonts w:ascii="Arial" w:hAnsi="Arial" w:cs="Arial"/>
          <w:i/>
          <w:iCs/>
          <w:color w:val="222222"/>
          <w:shd w:val="clear" w:color="auto" w:fill="FFFFFF"/>
        </w:rPr>
        <w:t>Mycenaean Civilization: An Annotated Bibliography through 2002, rev</w:t>
      </w:r>
      <w:r w:rsidRPr="00741BB1">
        <w:rPr>
          <w:rFonts w:ascii="Arial" w:hAnsi="Arial" w:cs="Arial"/>
          <w:color w:val="222222"/>
          <w:shd w:val="clear" w:color="auto" w:fill="FFFFFF"/>
        </w:rPr>
        <w:t>. Vol. 1525. McFarland, 2004.</w:t>
      </w:r>
    </w:p>
  </w:footnote>
  <w:footnote w:id="6">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w:t>
      </w:r>
    </w:p>
  </w:footnote>
  <w:footnote w:id="7">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 p. 9.</w:t>
      </w:r>
    </w:p>
  </w:footnote>
  <w:footnote w:id="8">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w:t>
      </w:r>
    </w:p>
  </w:footnote>
  <w:footnote w:id="9">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Graziadio, Giampaolo. "The process of social stratification at Mycenae in the Shaft Grave period: a comparative examination of the evidence." </w:t>
      </w:r>
      <w:r w:rsidRPr="00741BB1">
        <w:rPr>
          <w:rFonts w:ascii="Arial" w:hAnsi="Arial" w:cs="Arial"/>
          <w:i/>
          <w:iCs/>
          <w:color w:val="222222"/>
          <w:sz w:val="20"/>
          <w:szCs w:val="20"/>
          <w:shd w:val="clear" w:color="auto" w:fill="FFFFFF"/>
        </w:rPr>
        <w:t>American journal of archaeology</w:t>
      </w:r>
      <w:r w:rsidRPr="00741BB1">
        <w:rPr>
          <w:rFonts w:ascii="Arial" w:hAnsi="Arial" w:cs="Arial"/>
          <w:color w:val="222222"/>
          <w:sz w:val="20"/>
          <w:szCs w:val="20"/>
          <w:shd w:val="clear" w:color="auto" w:fill="FFFFFF"/>
        </w:rPr>
        <w:t> (1991): 403-440.</w:t>
      </w:r>
    </w:p>
  </w:footnote>
  <w:footnote w:id="10">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 xml:space="preserve">Ibid., p. 426. </w:t>
      </w:r>
    </w:p>
  </w:footnote>
  <w:footnote w:id="11">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 xml:space="preserve">Ibid. </w:t>
      </w:r>
    </w:p>
  </w:footnote>
  <w:footnote w:id="12">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Nash, Theodore. "Creta Capta: Late Minoan II Knossos in Mycenaean History." (2017).</w:t>
      </w:r>
    </w:p>
  </w:footnote>
  <w:footnote w:id="13">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 p. 23.</w:t>
      </w:r>
    </w:p>
  </w:footnote>
  <w:footnote w:id="14">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w:t>
      </w:r>
    </w:p>
  </w:footnote>
  <w:footnote w:id="15">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Heitz, Christian. "Burying the palaces? Ideologies in the Shaft Grave period." (2008).</w:t>
      </w:r>
    </w:p>
    <w:p w:rsidR="00741BB1" w:rsidRPr="00741BB1" w:rsidRDefault="00741BB1" w:rsidP="00741BB1">
      <w:pPr>
        <w:pStyle w:val="FootnoteText"/>
        <w:ind w:left="720" w:hanging="720"/>
        <w:rPr>
          <w:rFonts w:ascii="Arial" w:hAnsi="Arial" w:cs="Arial"/>
          <w:lang w:val="en-US"/>
        </w:rPr>
      </w:pPr>
    </w:p>
  </w:footnote>
  <w:footnote w:id="16">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Kristiansen, Kristian, and Thomas B. Larsson. </w:t>
      </w:r>
      <w:r w:rsidRPr="00741BB1">
        <w:rPr>
          <w:rFonts w:ascii="Arial" w:hAnsi="Arial" w:cs="Arial"/>
          <w:i/>
          <w:iCs/>
          <w:color w:val="222222"/>
          <w:sz w:val="20"/>
          <w:szCs w:val="20"/>
          <w:shd w:val="clear" w:color="auto" w:fill="FFFFFF"/>
        </w:rPr>
        <w:t>The rise of Bronze Age society: travels, transmissions and transformations</w:t>
      </w:r>
      <w:r w:rsidRPr="00741BB1">
        <w:rPr>
          <w:rFonts w:ascii="Arial" w:hAnsi="Arial" w:cs="Arial"/>
          <w:color w:val="222222"/>
          <w:sz w:val="20"/>
          <w:szCs w:val="20"/>
          <w:shd w:val="clear" w:color="auto" w:fill="FFFFFF"/>
        </w:rPr>
        <w:t>. Cambridge University Press, 2005.</w:t>
      </w:r>
    </w:p>
  </w:footnote>
  <w:footnote w:id="17">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 xml:space="preserve">Ibid. </w:t>
      </w:r>
    </w:p>
  </w:footnote>
  <w:footnote w:id="18">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w:t>
      </w:r>
    </w:p>
  </w:footnote>
  <w:footnote w:id="19">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w:t>
      </w:r>
    </w:p>
  </w:footnote>
  <w:footnote w:id="20">
    <w:p w:rsidR="00741BB1" w:rsidRPr="00741BB1" w:rsidRDefault="00741BB1" w:rsidP="00741BB1">
      <w:pPr>
        <w:spacing w:after="0" w:line="240" w:lineRule="auto"/>
        <w:ind w:left="720" w:hanging="720"/>
        <w:rPr>
          <w:rFonts w:ascii="Arial" w:hAnsi="Arial" w:cs="Arial"/>
          <w:color w:val="222222"/>
          <w:sz w:val="20"/>
          <w:szCs w:val="20"/>
          <w:shd w:val="clear" w:color="auto" w:fill="FFFFFF"/>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Heitz, Christian. "Burying the palaces? Ideologies in the Shaft Grave period." (2008), p. 7.</w:t>
      </w:r>
    </w:p>
  </w:footnote>
  <w:footnote w:id="21">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 p. 7.</w:t>
      </w:r>
    </w:p>
  </w:footnote>
  <w:footnote w:id="22">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w:t>
      </w:r>
    </w:p>
  </w:footnote>
  <w:footnote w:id="23">
    <w:p w:rsidR="00741BB1" w:rsidRPr="00741BB1" w:rsidRDefault="00741BB1" w:rsidP="00741BB1">
      <w:pPr>
        <w:spacing w:after="0" w:line="240" w:lineRule="auto"/>
        <w:ind w:left="720" w:hanging="720"/>
        <w:rPr>
          <w:rFonts w:ascii="Arial" w:hAnsi="Arial" w:cs="Arial"/>
          <w:sz w:val="20"/>
          <w:szCs w:val="20"/>
        </w:rPr>
      </w:pPr>
      <w:r w:rsidRPr="00741BB1">
        <w:rPr>
          <w:rStyle w:val="FootnoteReference"/>
          <w:rFonts w:ascii="Arial" w:hAnsi="Arial" w:cs="Arial"/>
          <w:sz w:val="20"/>
          <w:szCs w:val="20"/>
        </w:rPr>
        <w:footnoteRef/>
      </w:r>
      <w:r w:rsidRPr="00741BB1">
        <w:rPr>
          <w:rFonts w:ascii="Arial" w:hAnsi="Arial" w:cs="Arial"/>
          <w:sz w:val="20"/>
          <w:szCs w:val="20"/>
        </w:rPr>
        <w:t xml:space="preserve"> </w:t>
      </w:r>
      <w:r w:rsidRPr="00741BB1">
        <w:rPr>
          <w:rFonts w:ascii="Arial" w:hAnsi="Arial" w:cs="Arial"/>
          <w:color w:val="222222"/>
          <w:sz w:val="20"/>
          <w:szCs w:val="20"/>
          <w:shd w:val="clear" w:color="auto" w:fill="FFFFFF"/>
        </w:rPr>
        <w:t>Wright, James C. "A survey of evidence for feasting in Mycenaean society." </w:t>
      </w:r>
      <w:r w:rsidRPr="00741BB1">
        <w:rPr>
          <w:rFonts w:ascii="Arial" w:hAnsi="Arial" w:cs="Arial"/>
          <w:i/>
          <w:iCs/>
          <w:color w:val="222222"/>
          <w:sz w:val="20"/>
          <w:szCs w:val="20"/>
          <w:shd w:val="clear" w:color="auto" w:fill="FFFFFF"/>
        </w:rPr>
        <w:t>The Mycenaean Feast</w:t>
      </w:r>
      <w:r w:rsidRPr="00741BB1">
        <w:rPr>
          <w:rFonts w:ascii="Arial" w:hAnsi="Arial" w:cs="Arial"/>
          <w:color w:val="222222"/>
          <w:sz w:val="20"/>
          <w:szCs w:val="20"/>
          <w:shd w:val="clear" w:color="auto" w:fill="FFFFFF"/>
        </w:rPr>
        <w:t> 73, no. 2 (2004): 133-78.</w:t>
      </w:r>
    </w:p>
    <w:p w:rsidR="00741BB1" w:rsidRPr="00741BB1" w:rsidRDefault="00741BB1" w:rsidP="00741BB1">
      <w:pPr>
        <w:pStyle w:val="FootnoteText"/>
        <w:ind w:left="720" w:hanging="720"/>
        <w:rPr>
          <w:rFonts w:ascii="Arial" w:hAnsi="Arial" w:cs="Arial"/>
          <w:lang w:val="en-US"/>
        </w:rPr>
      </w:pPr>
    </w:p>
  </w:footnote>
  <w:footnote w:id="24">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 xml:space="preserve">Ibid., p. 147. </w:t>
      </w:r>
    </w:p>
  </w:footnote>
  <w:footnote w:id="25">
    <w:p w:rsidR="00741BB1" w:rsidRPr="00741BB1" w:rsidRDefault="00741BB1" w:rsidP="00741BB1">
      <w:pPr>
        <w:pStyle w:val="FootnoteText"/>
        <w:ind w:left="720" w:hanging="720"/>
        <w:rPr>
          <w:rFonts w:ascii="Arial" w:hAnsi="Arial" w:cs="Arial"/>
          <w:lang w:val="en-US"/>
        </w:rPr>
      </w:pPr>
      <w:r w:rsidRPr="00741BB1">
        <w:rPr>
          <w:rStyle w:val="FootnoteReference"/>
          <w:rFonts w:ascii="Arial" w:hAnsi="Arial" w:cs="Arial"/>
        </w:rPr>
        <w:footnoteRef/>
      </w:r>
      <w:r w:rsidRPr="00741BB1">
        <w:rPr>
          <w:rFonts w:ascii="Arial" w:hAnsi="Arial" w:cs="Arial"/>
        </w:rPr>
        <w:t xml:space="preserve"> </w:t>
      </w:r>
      <w:r w:rsidRPr="00741BB1">
        <w:rPr>
          <w:rFonts w:ascii="Arial" w:hAnsi="Arial" w:cs="Arial"/>
          <w:lang w:val="en-US"/>
        </w:rPr>
        <w:t>Ibid., p. 147.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BB1" w:rsidRPr="00741BB1" w:rsidRDefault="00741BB1" w:rsidP="00741BB1">
    <w:pPr>
      <w:pStyle w:val="Header"/>
      <w:jc w:val="right"/>
      <w:rPr>
        <w:rFonts w:ascii="Times New Roman" w:hAnsi="Times New Roman" w:cs="Times New Roman"/>
        <w:sz w:val="24"/>
        <w:szCs w:val="24"/>
      </w:rPr>
    </w:pPr>
    <w:r w:rsidRPr="00741BB1">
      <w:rPr>
        <w:rFonts w:ascii="Times New Roman" w:hAnsi="Times New Roman" w:cs="Times New Roman"/>
        <w:sz w:val="24"/>
        <w:szCs w:val="24"/>
      </w:rPr>
      <w:t xml:space="preserve">Last Name </w:t>
    </w:r>
    <w:r w:rsidRPr="00741BB1">
      <w:rPr>
        <w:rFonts w:ascii="Times New Roman" w:hAnsi="Times New Roman" w:cs="Times New Roman"/>
        <w:sz w:val="24"/>
        <w:szCs w:val="24"/>
      </w:rPr>
      <w:fldChar w:fldCharType="begin"/>
    </w:r>
    <w:r w:rsidRPr="00741BB1">
      <w:rPr>
        <w:rFonts w:ascii="Times New Roman" w:hAnsi="Times New Roman" w:cs="Times New Roman"/>
        <w:sz w:val="24"/>
        <w:szCs w:val="24"/>
      </w:rPr>
      <w:instrText xml:space="preserve"> PAGE   \* MERGEFORMAT </w:instrText>
    </w:r>
    <w:r w:rsidRPr="00741BB1">
      <w:rPr>
        <w:rFonts w:ascii="Times New Roman" w:hAnsi="Times New Roman" w:cs="Times New Roman"/>
        <w:sz w:val="24"/>
        <w:szCs w:val="24"/>
      </w:rPr>
      <w:fldChar w:fldCharType="separate"/>
    </w:r>
    <w:r w:rsidR="00AA291B">
      <w:rPr>
        <w:rFonts w:ascii="Times New Roman" w:hAnsi="Times New Roman" w:cs="Times New Roman"/>
        <w:noProof/>
        <w:sz w:val="24"/>
        <w:szCs w:val="24"/>
      </w:rPr>
      <w:t>2</w:t>
    </w:r>
    <w:r w:rsidRPr="00741BB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E5"/>
    <w:rsid w:val="00000EA3"/>
    <w:rsid w:val="001F195B"/>
    <w:rsid w:val="00270DD4"/>
    <w:rsid w:val="007212E5"/>
    <w:rsid w:val="00741BB1"/>
    <w:rsid w:val="0076753F"/>
    <w:rsid w:val="00793DF0"/>
    <w:rsid w:val="00A111B2"/>
    <w:rsid w:val="00AA291B"/>
    <w:rsid w:val="00B00611"/>
    <w:rsid w:val="00C033EB"/>
    <w:rsid w:val="00C1100F"/>
    <w:rsid w:val="00C70A92"/>
    <w:rsid w:val="00E72AD5"/>
    <w:rsid w:val="00F61A86"/>
    <w:rsid w:val="00FA4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D92F1E-DC06-41B4-9E03-0B64472D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41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1BB1"/>
    <w:rPr>
      <w:sz w:val="20"/>
      <w:szCs w:val="20"/>
    </w:rPr>
  </w:style>
  <w:style w:type="character" w:styleId="FootnoteReference">
    <w:name w:val="footnote reference"/>
    <w:basedOn w:val="DefaultParagraphFont"/>
    <w:uiPriority w:val="99"/>
    <w:semiHidden/>
    <w:unhideWhenUsed/>
    <w:rsid w:val="00741BB1"/>
    <w:rPr>
      <w:vertAlign w:val="superscript"/>
    </w:rPr>
  </w:style>
  <w:style w:type="paragraph" w:styleId="Header">
    <w:name w:val="header"/>
    <w:basedOn w:val="Normal"/>
    <w:link w:val="HeaderChar"/>
    <w:uiPriority w:val="99"/>
    <w:unhideWhenUsed/>
    <w:rsid w:val="00741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BB1"/>
  </w:style>
  <w:style w:type="paragraph" w:styleId="Footer">
    <w:name w:val="footer"/>
    <w:basedOn w:val="Normal"/>
    <w:link w:val="FooterChar"/>
    <w:uiPriority w:val="99"/>
    <w:unhideWhenUsed/>
    <w:rsid w:val="00741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5AF65-6B01-43C2-B592-D2B219D04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2019-12-05T11:57:00Z</dcterms:created>
  <dcterms:modified xsi:type="dcterms:W3CDTF">2019-12-05T11:57:00Z</dcterms:modified>
</cp:coreProperties>
</file>